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6A6" w:rsidRDefault="00C956A6" w:rsidP="00845AF7">
      <w:pPr>
        <w:ind w:firstLine="720"/>
        <w:jc w:val="both"/>
        <w:rPr>
          <w:rFonts w:ascii="Times New Roman" w:hAnsi="Times New Roman"/>
          <w:sz w:val="26"/>
          <w:szCs w:val="26"/>
        </w:rPr>
      </w:pPr>
      <w:r>
        <w:rPr>
          <w:rFonts w:ascii="Times New Roman" w:hAnsi="Times New Roman"/>
          <w:sz w:val="26"/>
          <w:szCs w:val="26"/>
        </w:rPr>
        <w:t>На основу Националне  стратегије за борбу против корупције у Републици Србији за период од 2013. године до 2018. Године (Службени глассник Републике Србије бр. 57/2013)   на основу акционог плана за борбу против коруппције у Републици Србији за период од 2013. године до 2018. године (Службени глассник Републике Србије бр. 57/2013) , на основу мишљења Министарства правде Републике Србије, Скупштина града Врања на седници одржаној 19. 05. 2017. године, усвојилa је :</w:t>
      </w: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ИЗМЕНУ И ДОПУНУ ЛОКАЛНОГ АКЦИОНОГ ПЛАНА ЗА</w:t>
      </w: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БОРБУ ПРОТИВ КОРУПЦИЈЕ</w:t>
      </w: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Члан 1.</w:t>
      </w:r>
    </w:p>
    <w:p w:rsidR="00C956A6" w:rsidRDefault="00C956A6" w:rsidP="00845AF7">
      <w:pPr>
        <w:spacing w:after="0" w:line="240" w:lineRule="auto"/>
        <w:ind w:firstLine="720"/>
        <w:rPr>
          <w:rFonts w:ascii="Times New Roman" w:hAnsi="Times New Roman"/>
          <w:sz w:val="26"/>
          <w:szCs w:val="26"/>
        </w:rPr>
      </w:pPr>
      <w:r>
        <w:rPr>
          <w:rFonts w:ascii="Times New Roman" w:hAnsi="Times New Roman"/>
          <w:sz w:val="26"/>
          <w:szCs w:val="26"/>
        </w:rPr>
        <w:t>Локални акциони план за борбу против корупције мења се у називу и  сада гласи   „Локални антикорупцијски план“.</w:t>
      </w:r>
    </w:p>
    <w:p w:rsidR="00C956A6" w:rsidRDefault="00C956A6" w:rsidP="00845AF7">
      <w:pPr>
        <w:spacing w:after="0" w:line="240" w:lineRule="auto"/>
        <w:ind w:firstLine="720"/>
        <w:rPr>
          <w:rFonts w:ascii="Times New Roman" w:hAnsi="Times New Roman"/>
          <w:sz w:val="26"/>
          <w:szCs w:val="26"/>
        </w:rPr>
      </w:pP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Члан 2</w:t>
      </w:r>
    </w:p>
    <w:p w:rsidR="00C956A6" w:rsidRDefault="00C956A6" w:rsidP="00845AF7">
      <w:pPr>
        <w:spacing w:after="0" w:line="240" w:lineRule="auto"/>
        <w:ind w:firstLine="720"/>
        <w:jc w:val="both"/>
        <w:rPr>
          <w:rFonts w:ascii="Times New Roman" w:hAnsi="Times New Roman"/>
          <w:sz w:val="26"/>
          <w:szCs w:val="26"/>
        </w:rPr>
      </w:pPr>
      <w:r>
        <w:rPr>
          <w:rFonts w:ascii="Times New Roman" w:hAnsi="Times New Roman"/>
          <w:sz w:val="26"/>
          <w:szCs w:val="26"/>
        </w:rPr>
        <w:t>Одељак  5. Локалног антикорупцијског плана који носи назив „Механизми инплементације“ допуњује се  мерама  које су приказане кроз  следећи табеларни приказ:</w:t>
      </w:r>
    </w:p>
    <w:p w:rsidR="00C956A6" w:rsidRDefault="00C956A6" w:rsidP="00845AF7">
      <w:pPr>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p>
    <w:tbl>
      <w:tblPr>
        <w:tblW w:w="10003" w:type="dxa"/>
        <w:tblInd w:w="-5" w:type="dxa"/>
        <w:tblLook w:val="00A0"/>
      </w:tblPr>
      <w:tblGrid>
        <w:gridCol w:w="5425"/>
        <w:gridCol w:w="1230"/>
        <w:gridCol w:w="545"/>
        <w:gridCol w:w="13"/>
        <w:gridCol w:w="527"/>
        <w:gridCol w:w="13"/>
        <w:gridCol w:w="327"/>
        <w:gridCol w:w="470"/>
        <w:gridCol w:w="13"/>
        <w:gridCol w:w="1031"/>
        <w:gridCol w:w="396"/>
        <w:gridCol w:w="13"/>
      </w:tblGrid>
      <w:tr w:rsidR="00C956A6" w:rsidRPr="001733E6" w:rsidTr="00845AF7">
        <w:trPr>
          <w:gridAfter w:val="2"/>
          <w:wAfter w:w="409" w:type="dxa"/>
          <w:trHeight w:val="285"/>
        </w:trPr>
        <w:tc>
          <w:tcPr>
            <w:tcW w:w="5425"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230" w:type="dxa"/>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План интегритета </w:t>
            </w:r>
          </w:p>
        </w:tc>
        <w:tc>
          <w:tcPr>
            <w:tcW w:w="1425" w:type="dxa"/>
            <w:gridSpan w:val="5"/>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Интегритет града</w:t>
            </w:r>
          </w:p>
        </w:tc>
        <w:tc>
          <w:tcPr>
            <w:tcW w:w="1514"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Интегритет тела</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Дефинисати области/врсте прописа за које је обавезна јавна расправа приликом доношења прописа.</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b/>
                <w:bCs/>
                <w:color w:val="000000"/>
                <w:sz w:val="18"/>
                <w:szCs w:val="18"/>
              </w:rPr>
            </w:pPr>
            <w:r>
              <w:rPr>
                <w:rFonts w:ascii="Sitka Heading" w:hAnsi="Sitka Heading" w:cs="Calibri"/>
                <w:b/>
                <w:bCs/>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b/>
                <w:bCs/>
                <w:color w:val="000000"/>
                <w:sz w:val="18"/>
                <w:szCs w:val="18"/>
              </w:rPr>
            </w:pPr>
            <w:r>
              <w:rPr>
                <w:rFonts w:ascii="Sitka Heading" w:hAnsi="Sitka Heading" w:cs="Calibri"/>
                <w:b/>
                <w:bCs/>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b/>
                <w:bCs/>
                <w:color w:val="000000"/>
                <w:sz w:val="18"/>
                <w:szCs w:val="18"/>
              </w:rPr>
            </w:pPr>
            <w:r>
              <w:rPr>
                <w:rFonts w:ascii="Sitka Heading" w:hAnsi="Sitka Heading" w:cs="Calibri"/>
                <w:b/>
                <w:bCs/>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 оквиру јавне расправе о нацрту прописa успоставити обавезу објављивања извештаја о изради нацрта прописа. </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single" w:sz="4" w:space="0" w:color="auto"/>
              <w:left w:val="single" w:sz="4" w:space="0" w:color="auto"/>
              <w:bottom w:val="single" w:sz="4" w:space="0" w:color="auto"/>
              <w:right w:val="single" w:sz="4" w:space="0" w:color="auto"/>
            </w:tcBorders>
            <w:noWrap/>
            <w:vAlign w:val="bottom"/>
          </w:tcPr>
          <w:p w:rsidR="00C956A6" w:rsidRDefault="00C956A6">
            <w:pPr>
              <w:spacing w:after="0" w:line="240" w:lineRule="auto"/>
              <w:rPr>
                <w:rFonts w:cs="Calibri"/>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85.5pt;margin-top:6pt;width:2.25pt;height:2.25pt;z-index:251658240;visibility:visible;mso-position-horizontal-relative:text;mso-position-vertical-relative:text">
                  <v:imagedata r:id="rId7" o:title=""/>
                </v:shape>
              </w:pict>
            </w:r>
            <w:r>
              <w:rPr>
                <w:rFonts w:ascii="Sitka Heading Cyr" w:hAnsi="Sitka Heading Cyr" w:cs="Calibri"/>
                <w:color w:val="000000"/>
                <w:sz w:val="18"/>
                <w:szCs w:val="18"/>
              </w:rPr>
              <w:t>Прописати правила одржавања јавних расправа.</w:t>
            </w:r>
          </w:p>
        </w:tc>
        <w:tc>
          <w:tcPr>
            <w:tcW w:w="1230" w:type="dxa"/>
            <w:tcBorders>
              <w:top w:val="nil"/>
              <w:left w:val="single" w:sz="4" w:space="0" w:color="auto"/>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 xml:space="preserve">Успотавити онлине платформу која омогућава заинтересованим групама да доставе своје предлоге, коментаре и аргументе </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FF0000"/>
                <w:sz w:val="18"/>
                <w:szCs w:val="18"/>
              </w:rPr>
            </w:pPr>
            <w:r>
              <w:rPr>
                <w:rFonts w:ascii="Sitka Heading" w:hAnsi="Sitka Heading" w:cs="Calibri"/>
                <w:color w:val="FF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Објављивати опште акте на интернет презентацији ЈЛС.</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630"/>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да се специфичне циљне групе (а у складу са потребама и карактером локалне заједнице), на које се односе поједини акти ЈЛС додатно обавештавају и информишу о усвојеним или измењеним јавним политикама које су од значаја за те циљне групе</w:t>
            </w:r>
            <w:r>
              <w:rPr>
                <w:rFonts w:ascii="Sitka Heading" w:hAnsi="Sitka Heading" w:cs="Calibri"/>
                <w:color w:val="000000"/>
                <w:sz w:val="18"/>
                <w:szCs w:val="18"/>
              </w:rPr>
              <w:t xml:space="preserve">. </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270"/>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Сваки пропис/одлука мора да има документ којим се дефинише очекивани ефекат примена и начин праћења и извештавања јавности и надлежних органа ЈЛС</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Објављивати извештаје о примени прописа и ефектима које они изазивају </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пријављивања интереса за усвајање општих аката. </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управљања пријављеним интересима.</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630"/>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израде образложења нацрта прописа, са посебним акцентом на образложење јавног интереса који ће бити остварен и/или заштићен конкретним прописом, односно са образложењем разлога, потреба и околности у којима се усваја пропис. </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капацитет ЈЛС за спречавање усвајања прописа са уграђеним ризицима за корупцију. </w:t>
            </w:r>
          </w:p>
        </w:tc>
        <w:tc>
          <w:tcPr>
            <w:tcW w:w="1230" w:type="dxa"/>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2"/>
          <w:wAfter w:w="409" w:type="dxa"/>
          <w:trHeight w:val="315"/>
        </w:trPr>
        <w:tc>
          <w:tcPr>
            <w:tcW w:w="5425" w:type="dxa"/>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Израда годишњег извештаја (регистра) аката/прописа који су анализирани, врсте препорука и број усвојености</w:t>
            </w:r>
          </w:p>
        </w:tc>
        <w:tc>
          <w:tcPr>
            <w:tcW w:w="1230" w:type="dxa"/>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25" w:type="dxa"/>
            <w:gridSpan w:val="5"/>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514"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пријављивања приватних интереса јавних функционера и приватних интереса са њима повезаних лица.</w:t>
            </w:r>
          </w:p>
        </w:tc>
        <w:tc>
          <w:tcPr>
            <w:tcW w:w="540" w:type="dxa"/>
            <w:gridSpan w:val="2"/>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управљања пријављеним интересима јавних функционера и приватних интереса са њима повезаних лица.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94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органа ЈЛС, као и свих јавних служби, јавних предузећа, других организација којима је оснивач ЈЛС, да објаве све уговоре које су закључили са функционерима (функционерима у смислу Закона о Агенцији за борбу против корупције) и са запосленима у органима ЈЛС (свих уговора осим уговора о раду – на пример, уговора о делу, уговора о привременим и повременим пословима и слично).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Општим актом регулисати ЈЛС материју сукоба интереса запослених у органима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Формирати тело за примену правила о сукобу интереса запослених у органима ЈЛС.</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капацитет тела за примену правила о сукобу интереса запослених у органима ЈЛС.</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координацију и механизам извештавања о управљању сукобом интереса између тела за примену правила о сукобу интереса запослених у органима ЈЛС и тела за праћење примене ЛАП-а.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270"/>
        </w:trPr>
        <w:tc>
          <w:tcPr>
            <w:tcW w:w="7213" w:type="dxa"/>
            <w:gridSpan w:val="4"/>
            <w:vMerge w:val="restart"/>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Успоставити механизам за праћење примене Закона о заштити узбуњивача.</w:t>
            </w:r>
          </w:p>
        </w:tc>
        <w:tc>
          <w:tcPr>
            <w:tcW w:w="540" w:type="dxa"/>
            <w:gridSpan w:val="2"/>
            <w:vMerge w:val="restart"/>
            <w:tcBorders>
              <w:top w:val="nil"/>
              <w:left w:val="single" w:sz="4" w:space="0" w:color="auto"/>
              <w:bottom w:val="single" w:sz="4" w:space="0" w:color="000000"/>
              <w:right w:val="single" w:sz="4" w:space="0" w:color="auto"/>
            </w:tcBorders>
            <w:shd w:val="clear" w:color="auto" w:fill="FFFFFF"/>
            <w:noWrap/>
            <w:vAlign w:val="bottom"/>
          </w:tcPr>
          <w:p w:rsidR="00C956A6" w:rsidRDefault="00C956A6">
            <w:pPr>
              <w:spacing w:after="0" w:line="240" w:lineRule="auto"/>
              <w:jc w:val="center"/>
              <w:rPr>
                <w:rFonts w:ascii="Sitka Heading" w:hAnsi="Sitka Heading" w:cs="Calibri"/>
                <w:color w:val="FF0000"/>
                <w:sz w:val="18"/>
                <w:szCs w:val="18"/>
              </w:rPr>
            </w:pPr>
            <w:r>
              <w:rPr>
                <w:rFonts w:ascii="Sitka Heading" w:hAnsi="Sitka Heading" w:cs="Calibri"/>
                <w:color w:val="FF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FF0000"/>
                <w:sz w:val="18"/>
                <w:szCs w:val="18"/>
              </w:rPr>
            </w:pPr>
            <w:r>
              <w:rPr>
                <w:rFonts w:ascii="Sitka Heading" w:hAnsi="Sitka Heading" w:cs="Calibri"/>
                <w:color w:val="FF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FF0000"/>
                <w:sz w:val="18"/>
                <w:szCs w:val="18"/>
              </w:rPr>
            </w:pPr>
            <w:r>
              <w:rPr>
                <w:rFonts w:ascii="Sitka Heading" w:hAnsi="Sitka Heading" w:cs="Calibri"/>
                <w:color w:val="FF0000"/>
                <w:sz w:val="18"/>
                <w:szCs w:val="18"/>
              </w:rPr>
              <w:t> </w:t>
            </w:r>
          </w:p>
        </w:tc>
      </w:tr>
      <w:tr w:rsidR="00C956A6" w:rsidRPr="001733E6" w:rsidTr="00845AF7">
        <w:trPr>
          <w:trHeight w:val="45"/>
        </w:trPr>
        <w:tc>
          <w:tcPr>
            <w:tcW w:w="0" w:type="auto"/>
            <w:gridSpan w:val="4"/>
            <w:vMerge/>
            <w:tcBorders>
              <w:top w:val="nil"/>
              <w:left w:val="single" w:sz="4" w:space="0" w:color="auto"/>
              <w:bottom w:val="single" w:sz="4" w:space="0" w:color="auto"/>
              <w:right w:val="single" w:sz="4" w:space="0" w:color="auto"/>
            </w:tcBorders>
            <w:vAlign w:val="center"/>
          </w:tcPr>
          <w:p w:rsidR="00C956A6" w:rsidRDefault="00C956A6">
            <w:pPr>
              <w:spacing w:after="0" w:line="240" w:lineRule="auto"/>
              <w:rPr>
                <w:rFonts w:ascii="Sitka Heading" w:hAnsi="Sitka Heading" w:cs="Calibri"/>
                <w:color w:val="FF0000"/>
                <w:sz w:val="18"/>
                <w:szCs w:val="18"/>
              </w:rPr>
            </w:pPr>
          </w:p>
        </w:tc>
        <w:tc>
          <w:tcPr>
            <w:tcW w:w="0" w:type="auto"/>
            <w:gridSpan w:val="2"/>
            <w:vMerge/>
            <w:tcBorders>
              <w:top w:val="nil"/>
              <w:left w:val="single" w:sz="4" w:space="0" w:color="auto"/>
              <w:bottom w:val="single" w:sz="4" w:space="0" w:color="000000"/>
              <w:right w:val="single" w:sz="4" w:space="0" w:color="auto"/>
            </w:tcBorders>
            <w:vAlign w:val="center"/>
          </w:tcPr>
          <w:p w:rsidR="00C956A6" w:rsidRDefault="00C956A6">
            <w:pPr>
              <w:spacing w:after="0" w:line="240" w:lineRule="auto"/>
              <w:rPr>
                <w:rFonts w:ascii="Sitka Heading" w:hAnsi="Sitka Heading" w:cs="Calibri"/>
                <w:color w:val="FF0000"/>
                <w:sz w:val="18"/>
                <w:szCs w:val="18"/>
              </w:rPr>
            </w:pP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FF0000"/>
                <w:sz w:val="18"/>
                <w:szCs w:val="18"/>
              </w:rPr>
            </w:pPr>
            <w:r>
              <w:rPr>
                <w:rFonts w:ascii="Sitka Heading" w:hAnsi="Sitka Heading" w:cs="Calibri"/>
                <w:color w:val="FF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FF0000"/>
                <w:sz w:val="18"/>
                <w:szCs w:val="18"/>
              </w:rPr>
            </w:pPr>
            <w:r>
              <w:rPr>
                <w:rFonts w:ascii="Sitka Heading" w:hAnsi="Sitka Heading" w:cs="Calibri"/>
                <w:color w:val="FF0000"/>
                <w:sz w:val="18"/>
                <w:szCs w:val="18"/>
              </w:rPr>
              <w:t> </w:t>
            </w:r>
          </w:p>
        </w:tc>
      </w:tr>
      <w:tr w:rsidR="00C956A6" w:rsidRPr="001733E6" w:rsidTr="00845AF7">
        <w:trPr>
          <w:trHeight w:val="45"/>
        </w:trPr>
        <w:tc>
          <w:tcPr>
            <w:tcW w:w="7213" w:type="dxa"/>
            <w:gridSpan w:val="4"/>
            <w:vMerge w:val="restart"/>
            <w:tcBorders>
              <w:top w:val="nil"/>
              <w:left w:val="single" w:sz="4" w:space="0" w:color="auto"/>
              <w:bottom w:val="single" w:sz="4" w:space="0" w:color="000000"/>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Успоставити и ојачати капацитете лица задужених за пријем и поступање по пријавама узбуњивача.</w:t>
            </w:r>
          </w:p>
        </w:tc>
        <w:tc>
          <w:tcPr>
            <w:tcW w:w="540" w:type="dxa"/>
            <w:gridSpan w:val="2"/>
            <w:vMerge w:val="restart"/>
            <w:tcBorders>
              <w:top w:val="nil"/>
              <w:left w:val="single" w:sz="4" w:space="0" w:color="auto"/>
              <w:bottom w:val="single" w:sz="4" w:space="0" w:color="000000"/>
              <w:right w:val="single" w:sz="4" w:space="0" w:color="auto"/>
            </w:tcBorders>
            <w:shd w:val="clear" w:color="auto" w:fill="FFFFFF"/>
            <w:noWrap/>
            <w:vAlign w:val="bottom"/>
          </w:tcPr>
          <w:p w:rsidR="00C956A6" w:rsidRDefault="00C956A6">
            <w:pPr>
              <w:spacing w:after="0" w:line="240" w:lineRule="auto"/>
              <w:jc w:val="center"/>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vMerge w:val="restart"/>
            <w:tcBorders>
              <w:top w:val="nil"/>
              <w:left w:val="single" w:sz="4" w:space="0" w:color="auto"/>
              <w:bottom w:val="single" w:sz="4" w:space="0" w:color="000000"/>
              <w:right w:val="single" w:sz="4" w:space="0" w:color="auto"/>
            </w:tcBorders>
            <w:shd w:val="clear" w:color="auto" w:fill="808080"/>
            <w:noWrap/>
            <w:vAlign w:val="bottom"/>
          </w:tcPr>
          <w:p w:rsidR="00C956A6" w:rsidRDefault="00C956A6">
            <w:pPr>
              <w:spacing w:after="0" w:line="240" w:lineRule="auto"/>
              <w:jc w:val="center"/>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0" w:type="auto"/>
            <w:gridSpan w:val="4"/>
            <w:vMerge/>
            <w:tcBorders>
              <w:top w:val="nil"/>
              <w:left w:val="single" w:sz="4" w:space="0" w:color="auto"/>
              <w:bottom w:val="single" w:sz="4" w:space="0" w:color="000000"/>
              <w:right w:val="single" w:sz="4" w:space="0" w:color="auto"/>
            </w:tcBorders>
            <w:vAlign w:val="center"/>
          </w:tcPr>
          <w:p w:rsidR="00C956A6" w:rsidRDefault="00C956A6">
            <w:pPr>
              <w:spacing w:after="0" w:line="240" w:lineRule="auto"/>
              <w:rPr>
                <w:rFonts w:ascii="Sitka Heading" w:hAnsi="Sitka Heading" w:cs="Calibri"/>
                <w:color w:val="FF0000"/>
                <w:sz w:val="18"/>
                <w:szCs w:val="18"/>
              </w:rPr>
            </w:pPr>
          </w:p>
        </w:tc>
        <w:tc>
          <w:tcPr>
            <w:tcW w:w="0" w:type="auto"/>
            <w:gridSpan w:val="2"/>
            <w:vMerge/>
            <w:tcBorders>
              <w:top w:val="nil"/>
              <w:left w:val="single" w:sz="4" w:space="0" w:color="auto"/>
              <w:bottom w:val="single" w:sz="4" w:space="0" w:color="000000"/>
              <w:right w:val="single" w:sz="4" w:space="0" w:color="auto"/>
            </w:tcBorders>
            <w:vAlign w:val="center"/>
          </w:tcPr>
          <w:p w:rsidR="00C956A6" w:rsidRDefault="00C956A6">
            <w:pPr>
              <w:spacing w:after="0" w:line="240" w:lineRule="auto"/>
              <w:rPr>
                <w:rFonts w:ascii="Sitka Heading" w:hAnsi="Sitka Heading" w:cs="Calibri"/>
                <w:color w:val="000000"/>
                <w:sz w:val="18"/>
                <w:szCs w:val="18"/>
              </w:rPr>
            </w:pPr>
          </w:p>
        </w:tc>
        <w:tc>
          <w:tcPr>
            <w:tcW w:w="0" w:type="auto"/>
            <w:gridSpan w:val="3"/>
            <w:vMerge/>
            <w:tcBorders>
              <w:top w:val="nil"/>
              <w:left w:val="single" w:sz="4" w:space="0" w:color="auto"/>
              <w:bottom w:val="single" w:sz="4" w:space="0" w:color="000000"/>
              <w:right w:val="single" w:sz="4" w:space="0" w:color="auto"/>
            </w:tcBorders>
            <w:vAlign w:val="center"/>
          </w:tcPr>
          <w:p w:rsidR="00C956A6" w:rsidRDefault="00C956A6">
            <w:pPr>
              <w:spacing w:after="0" w:line="240" w:lineRule="auto"/>
              <w:rPr>
                <w:rFonts w:ascii="Sitka Heading" w:hAnsi="Sitka Heading" w:cs="Calibri"/>
                <w:color w:val="000000"/>
                <w:sz w:val="18"/>
                <w:szCs w:val="18"/>
              </w:rPr>
            </w:pP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функционалност механизма подношења и поступања по пријавама и представкама странака у вези са радом органа ЈЛС.</w:t>
            </w:r>
          </w:p>
        </w:tc>
        <w:tc>
          <w:tcPr>
            <w:tcW w:w="540" w:type="dxa"/>
            <w:gridSpan w:val="2"/>
            <w:tcBorders>
              <w:top w:val="nil"/>
              <w:left w:val="nil"/>
              <w:bottom w:val="nil"/>
              <w:right w:val="single" w:sz="4" w:space="0" w:color="auto"/>
            </w:tcBorders>
            <w:shd w:val="clear" w:color="auto" w:fill="808080"/>
            <w:noWrap/>
            <w:vAlign w:val="bottom"/>
          </w:tcPr>
          <w:p w:rsidR="00C956A6" w:rsidRDefault="00C956A6">
            <w:pPr>
              <w:spacing w:after="0" w:line="240" w:lineRule="auto"/>
              <w:jc w:val="center"/>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формирања листе кандидата са образложењем испуњености услова за чланове Надзорног одбора (НО) јавног предузећа.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Предвидети обавезу уређења поступка у којем надлежни орган јединице локалне самоуправе разматра предлоге НО, са роковима за поступање.</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bookmarkStart w:id="0" w:name="RANGE!B30"/>
      <w:bookmarkEnd w:id="0"/>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563C1"/>
                <w:sz w:val="18"/>
                <w:szCs w:val="18"/>
                <w:u w:val="single"/>
              </w:rPr>
            </w:pPr>
            <w:r w:rsidRPr="001733E6">
              <w:fldChar w:fldCharType="begin"/>
            </w:r>
            <w:r w:rsidRPr="001733E6">
              <w:instrText xml:space="preserve"> HYPERLINK "file:///C:\\Users\\BIRODI2\\Desktop\\Projekti%202017\\Vranje\\spisak%20mera.xlsx" \l "RANGE!A141" </w:instrText>
            </w:r>
            <w:r w:rsidRPr="001733E6">
              <w:fldChar w:fldCharType="separate"/>
            </w:r>
            <w:r>
              <w:rPr>
                <w:rStyle w:val="Hyperlink"/>
                <w:rFonts w:ascii="Sitka Heading Cyr" w:hAnsi="Sitka Heading Cyr" w:cs="Calibri"/>
                <w:color w:val="0563C1"/>
                <w:sz w:val="18"/>
                <w:szCs w:val="18"/>
              </w:rPr>
              <w:t xml:space="preserve">Прописати услове и критеријуме за именовање чланова Комисије за спровођење конкурса за избор директора јавних предузећа[1]. </w:t>
            </w:r>
            <w:r w:rsidRPr="001733E6">
              <w:fldChar w:fldCharType="end"/>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елементе управљања сукобом интереса чланова Комисије за спровођење конкурса за избор директора јавних предузећа.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јавност рада Комисије за спровођење конкурса за избор директора јавних предузећа.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Смањити дискрециона овлашћења надлежног органа ЈЛС у процесу разрешења директора јавног предузећа.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услове и критеријуме за именовање вршиоца дужности директора.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поступак и рок за разматрање, односно давање сагласности на програм пословања јавног предузећа.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Додатно прецизирати овлашћења оснивача да у случају поремећаја у пословању јавног предузећа надлежни орган ЈЛС предузима мере којима ће се обезбедити услови за несметано обављање делатности од општег интереса.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услове, критеријуме и поступак за давање сагласности јавним предузећима за оснивање друштва капитала и улагање капитала у већ основана друштва, као и механизам одговорности у случајевима у којима руководиоци јавних предузећа избегну примену прописаних правила.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услове и критеријуме за одлучивање о оснивању више јавних предузећа за обављање исте делатности на подручју града и града Београда (Напомена: мера се односи само на оне ЈЛС које имају статус Града и на Град Београд, јер је ова могућност према Закну о јавним предузећим  остављена само ЈЛС које имају тај статус).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потпуну доступност информација о свим органима јавне власти које ЈЛС оснива и делом или у потпуности финансира или контролише.</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спровођења јавног конкурса за избор руководилаца свих јавних служби, јавних предузећа и других организација за које је надлежна ЈЛС.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да се сви конкурси за избор органа управљања и чланова надзорних тела код којих ЈЛС о томе одлучује спроводе уз примену јасних и прецизних услова и критеријума.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механизме одговорности руководилаца и чланова управљачких и надзорних тела свих јавних служби, јавних предузећа и других организација које оснива ЈЛС. </w:t>
            </w:r>
          </w:p>
        </w:tc>
        <w:tc>
          <w:tcPr>
            <w:tcW w:w="540" w:type="dxa"/>
            <w:gridSpan w:val="2"/>
            <w:tcBorders>
              <w:top w:val="single" w:sz="4" w:space="0" w:color="auto"/>
              <w:left w:val="single" w:sz="4" w:space="0" w:color="auto"/>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механизам за сврсисходно управљање финансијама јавних предузећа, установа, органа и организација које оснива ЈЛС. </w:t>
            </w:r>
          </w:p>
        </w:tc>
        <w:tc>
          <w:tcPr>
            <w:tcW w:w="540" w:type="dxa"/>
            <w:gridSpan w:val="2"/>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Увести обавезу објављивања докумената који се односе на управљање финансијама свих јавних служби, јавних предузећа и других организација које оснива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механизам грађанске контроле над управљањем финансијама органа јавне власти које оснива ЈЛС.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Дефинисати локално специфичне области које могу бити предмет концесије</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процедуру и критеријуме за давање сагласности на предлог пројекта ЈПП без елемената концесије, за усвајање предлога за доношење концесионог акта који припреми надлежно јавно тело и за давање сагласности на коначни нацрт јавног уговора.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Дефинисати шта су објективни разлози за ограничавање одговорности чланова конзорцијума који се појављује као приватни партнер у ЈПП.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додатног образложења за избор конкретног рока на који се закључује јавни уговор.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ЈЛС да врши процену утицаја ЈПП на начело конкурентности.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ЈЛС да врши процену утицаја ЈПП на социоекономски развој (Social Impact) и уклјучивање грађана и релеватних актера у дефинисање садржаја уговора о ЈПП</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Дефинисати услове и критеријуме у погледу именовања лица која чине стручни тим који израђује конкурсну документацију, врши процену вредности концесије, израђује студију оправданости давања концесије и предузима све остале радње које претходе поступку давања концесије.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елементе управљања сукобом интереса лица која чине стручни тим описан у претходној мери.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интерну организациону процедуру спровођења надзора над реализацијом јавних уговора.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Pr="00845AF7" w:rsidRDefault="00C956A6">
            <w:pPr>
              <w:spacing w:after="0" w:line="240" w:lineRule="auto"/>
              <w:rPr>
                <w:rFonts w:ascii="Sitka Heading" w:hAnsi="Sitka Heading" w:cs="Calibri"/>
                <w:color w:val="FF0000"/>
                <w:sz w:val="16"/>
                <w:szCs w:val="18"/>
              </w:rPr>
            </w:pPr>
            <w:r w:rsidRPr="00845AF7">
              <w:rPr>
                <w:rFonts w:ascii="Sitka Heading Cyr" w:hAnsi="Sitka Heading Cyr" w:cs="Calibri"/>
                <w:color w:val="FF0000"/>
                <w:sz w:val="16"/>
                <w:szCs w:val="18"/>
              </w:rPr>
              <w:t>Општим актима регулисати грађански надзор тачније учешће представника заинтереисвних страна у процесу мониторинга реализације уговора о ЈПП и концесији</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Општим актима регулисати процедуре стицања и располагања имовином у својини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563C1"/>
                <w:sz w:val="18"/>
                <w:szCs w:val="18"/>
                <w:u w:val="single"/>
              </w:rPr>
            </w:pPr>
            <w:bookmarkStart w:id="1" w:name="RANGE!B57"/>
            <w:bookmarkEnd w:id="1"/>
            <w:r>
              <w:rPr>
                <w:rFonts w:ascii="Sitka Heading Cyr" w:hAnsi="Sitka Heading Cyr" w:cs="Calibri"/>
                <w:color w:val="0563C1"/>
                <w:sz w:val="18"/>
                <w:szCs w:val="18"/>
                <w:u w:val="single"/>
              </w:rPr>
              <w:t>Успоставити регистар јавне својине ЈЛС</w:t>
            </w:r>
            <w:bookmarkStart w:id="2" w:name="_GoBack"/>
            <w:bookmarkEnd w:id="2"/>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јавност регистра јавне својине ЈЛС.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правни оквир (односно унапредити постојећи тамо где он већ постоји) који се односи на управљање робним резервама.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претходног утврђивања оправданости и исплативости донација које прима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претходног утврђивања да ли постоји потенцијални, перципирани или стварни сукоб интереса приликом пријема донације.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праћења наменског коришћења средстава из донација.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праћења наменског коришћења средстава из донација кроз учешће грађанског посматрача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израде и објављивања извештаја о реализацији донације</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формирања јединственог јавног регистра који би садржао податке о свим донацијама ЈЛС и њиховом коришћењу.</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потпуну доступност информација о свим административним процедурама за остваривање права и регулисање обавеза корисника услуга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Спровести анализу потреба, могућности и оправданости додатног отклањања ризика од корупције у административним процедурама чије је регулисање у надлежности ЈЛС.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Отклонити ризике од корупције у административним процедурама чије је регулисање у надлежности ЈЛС, у складу са резултатима анализе потреба, могућности и оправданости.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Усвојити интерни акт којим се регулишу процедуре контроле спровођења административних процедура за остваривање права и обавеза корисника услуга ЈЛС кроз контролу предмета.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 складу са интерним актом, усвојити годишњи план и програм контроле предмета.</w:t>
            </w:r>
          </w:p>
        </w:tc>
        <w:tc>
          <w:tcPr>
            <w:tcW w:w="540" w:type="dxa"/>
            <w:gridSpan w:val="2"/>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 складу са интерним актом, израдити и објавити извештај о спроведеној  контроли.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Спровести анализу усаглашености програма за доделу помоћи са стратешким и развојним документима ЈЛС или са другим прописима/документима на националном нивоу који ЈЛС прописују обавезе да спроводе овакве врсте програма.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да се сви програми за доделу помоћи усагласе са стратешким и развојним документима ЈЛС или са другим прописима/документима који ЈЛС прописују обавезе да спроводе овакве врсте програма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укључивања организација цивилног друштва (ОЦД)/других актера у процес припреме, спровођења и контроле програма за доделу помоћи.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обавезу да се сви елементи програма јавно објављују, у складу са прописима који обезбеђују заштиту података о личности</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елементе управљања сукобом интереса чланова комисија и/или лица (службеника) који спроводе поступке за доделу помоћи</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Организације цивилног друштва које ступају у ову врсту сарадње морају да имају план интегритета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дефинисања јавног интереса који се остварује програмима који реализују удружења, односно успоставити обавезу да се сваки програм позива на већ дефинисан јавни интерес.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целовит и заокружен интерни правни оквир на нивоу ЈЛС који регулише суфинансирање програмa од јавног интереса које реализују удружења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пуну транспаретност процеса суфинансирања програмa од јавног интереса које реализују удружења.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процедуру која омогућава присуство грађанског предствника у при суфинансирању  програмa од јавног интереса које реализују удружења.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елементе управљања сукобом интереса чланова конкурсне комисије која спроводи конкурс за суфинансирање програмa од јавног интереса које реализују удружења.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обавезне елементе мониторинга, евалуације и финансијске контроле над програмима од јавног интереса које реализују удружења.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Дефинисати јавни интерес у области јавног информисања који је у складу са специфичностима локалне заједнице.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детаљније и прецизније регулације процеса спровођења конкурса за суфинансирање пројеката у области јавног информисања.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пуну транспаретност конкурса за суфинансирање пројеката у области јавног информисања.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елементе управљања сукобом интереса чланова конкурсне комисије која спроводи конкурс за суфинансирање пројеката у области јавног информисања.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Упоставити обавезу присуства грађанског посматрача у комидија  која спроводе конкурсе за суфинансирање пројеката у области јавног информисања.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обавезне елементе мониторинга, евалуације и финансијске контроле над пројектима у области јавног информисања који се финансирају из јавних извора.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посебне елементе процене ризика и учесталост вршења инспекцијског надзора на основу процене ризика из изворне надлежности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обавезу усвајања процедуре за процену посебних ризика који су специфични за сваку локалну заједницу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630"/>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Објављивати посебне елементе процене ризика и учесталост вршења инспекцијског надзора на основу процене ризика из изворне надлежности, као и процедуру за процену посебних ризика који су специфични за сваку локалну заједницу</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Одредити орган, унутрашњу организациону јединицу или тело које координира инспекцијски надзор над пословима из изворне надлежности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trHeight w:val="315"/>
        </w:trPr>
        <w:tc>
          <w:tcPr>
            <w:tcW w:w="7213" w:type="dxa"/>
            <w:gridSpan w:val="4"/>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Организовати унутрашњу контролу инспекције из изворне надлежности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облике, учесталост и начин вршења унутрашње контроле инспекције из изворне надлежности ЈЛС </w:t>
            </w:r>
          </w:p>
        </w:tc>
        <w:tc>
          <w:tcPr>
            <w:tcW w:w="540" w:type="dxa"/>
            <w:gridSpan w:val="2"/>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и правила поступања са примедбама које надлежна комисија добије у току раног јавног увида о изради просторног, односно урбанистичког плана.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Успоставити јавно доступан и обједињен регистар активности и резултата инспекцијских служи и регистар пријава од стране правних и физичких лица.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Унапредити транспарентност рада надлежне комисије у току раног јавног увида.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Детаљније прописати процедуре одлучивања надлежног органа ЈЛС о потврђивању или одбијању урбанистичког пројекта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процедуру за поступање надлежних органа ЈЛС у посебним случајевима формирања грађевинских парцела уколико плански документ није донет, као и за прихватање других доказа о решеним имовинско-правним односима.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услове и критеријуме  за давање статуса објекта од посебног значаја за развој ЈЛС.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Прописати процедуру одлучивања о давању статуса објекта од посебног значаја за развој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Прописати услове и критеријуме за одређивање додатних погодности за плаћање доприноса за објекте од посебног значаја за развој ЈЛС, као и за умањење износа доприноса за објекте станоградње.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дефинисања циљева, задатака (активности) и рокова у којима радно тело остварује задатке, односно у којима извештава оснивача о свом раду.</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навођења правног основа за формирање сваког појединачног радног тела.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Усвојити обавезујуће услове и критеријуме приликом именовања чланова радних тела.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Регулисати питање накнада за рад у радним телима.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доношења одлуке о формирању сваког радног тела претходи анализа постојећег институционалног оквира за конкретну област.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потпуну доступност информација о свим радним телима на нивоу ЈЛС</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додатног образложења околности, потребе и оправданости за спровођење мешовитих јавних набавки.</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да се у случају јавних набавки мале вредности (вредности мање од 500.000 динара) позив за достављање понуде упућује најмање једном понуђачу који врши делатност која је предмет јавне набавке, а да уколико то није могуће, обавезно постоји образложење такве одлуке.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Упоставити обавезу дефинисања разлога хитности.</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дефинисања „других одговарајућих начина доказивања који може обухватити и техничку документацију произвођача“.</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Успоставити правни оквир за грађанско посматрање извршења уговора о јавниих набавкама од стране заинтересованих грађана и правних лица (удружења)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FF0000"/>
                <w:sz w:val="18"/>
                <w:szCs w:val="18"/>
              </w:rPr>
            </w:pPr>
            <w:r>
              <w:rPr>
                <w:rFonts w:ascii="Sitka Heading Cyr" w:hAnsi="Sitka Heading Cyr" w:cs="Calibri"/>
                <w:color w:val="FF0000"/>
                <w:sz w:val="18"/>
                <w:szCs w:val="18"/>
              </w:rPr>
              <w:t xml:space="preserve">Упоставити правни оквир за укључивањем кориснка услуга у процес планирања јавниих набавки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да се сва документа која настају у поступцима јавних набавки јавно објављују.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Дефинисати врсте јавних набавки које спроводи ЈЛС а у којима је обавезно укључивање представника јавности - грађанског посматрача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Израдити анализу потреба, ресурса и капацитета ЈЛС за успостављање система интерне ревизије, у складу са Правилником о заједничким критеријумима за организовање и стандардима и методолошким упутствима за поступање и извештавање интерне ревизије у јавном сектиру („Службени гласник РС” бр. 99/11 i 106/13)</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нормативне, организационе, кадровске, материјалне и техничке претпоставке за успостављање система интерне ревизије, у складу са резултатима анализе потреба, ресурса и капацитета ЈЛС.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ефикасно функционисање система интерне ревизије.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Израдити анализу потреба, ресурса и капацитета ЈЛС за успостављање система финансијског управљања и контроле, у складу са Правилником </w:t>
            </w:r>
          </w:p>
        </w:tc>
        <w:tc>
          <w:tcPr>
            <w:tcW w:w="540" w:type="dxa"/>
            <w:gridSpan w:val="2"/>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 заједничким критеријумима и стандардима за успостављање, функционисање и извештавање о систему финансијског управљања и контроле у јавном сектору (“Службени гласник РС”, бр. 99/11 od 27.12.2011. године)</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нормативне, организационе, кадровске, материјалне и техничке претпоставке за успостављање система финансијског управљања и контроле, у складу са резултатима анализе потреба, ресурса и капацитета ЈЛС.</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ефикасно функционисање система финансијског управљања и контроле.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Израдити анализу потреба, ресурса и капацитета ЈЛС за јачање службе за буџетску инспекцију коју оснива ЈЛС у складу са Законом о буџетском систему (“Службени гласник РС”, бр. 54/09, 73/10, 101/10, 101/11, 93/12, 62/13, 63/13 - испр., 108/13, 142/14, 68/15 - др. закон, 103/15 и 99/16).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630"/>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Обезбедити ефикасно функционисање службе за буџетску инспекцију коју оснива ЈЛС у складу са Законом о буџетском систему и у складу са резултатима анализе потреба, ресурса и капацитета ЈЛС. </w:t>
            </w:r>
          </w:p>
        </w:tc>
        <w:tc>
          <w:tcPr>
            <w:tcW w:w="540" w:type="dxa"/>
            <w:gridSpan w:val="2"/>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информисања јавности о фазама и току буџетског циклуса.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Успоставити обавезу адекватног укључивања заинтересоване јавности у процес планирања и припреме буџета.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Успоставити обавезу извештавања јавности о реализацији локалног буџета.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000000"/>
                <w:sz w:val="18"/>
                <w:szCs w:val="18"/>
              </w:rPr>
            </w:pPr>
            <w:bookmarkStart w:id="3" w:name="RANGE!B130"/>
            <w:bookmarkEnd w:id="3"/>
            <w:r>
              <w:rPr>
                <w:rFonts w:ascii="Sitka Heading Cyr" w:hAnsi="Sitka Heading Cyr" w:cs="Calibri"/>
                <w:color w:val="000000"/>
                <w:sz w:val="18"/>
                <w:szCs w:val="18"/>
              </w:rPr>
              <w:t>Успоставити обавезу редовне израде Грађанског водича кроз буџет локалне самоуправе [3].</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Одредити лице/тело на нивоу ЈЛС које је задужено за координацију одговорних субјеката у спровођењу активности из ЛАП-а. </w:t>
            </w:r>
          </w:p>
        </w:tc>
        <w:tc>
          <w:tcPr>
            <w:tcW w:w="540" w:type="dxa"/>
            <w:gridSpan w:val="2"/>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70"/>
        </w:trPr>
        <w:tc>
          <w:tcPr>
            <w:tcW w:w="7200" w:type="dxa"/>
            <w:gridSpan w:val="3"/>
            <w:tcBorders>
              <w:top w:val="single" w:sz="4" w:space="0" w:color="auto"/>
              <w:left w:val="single" w:sz="4" w:space="0" w:color="auto"/>
              <w:bottom w:val="single" w:sz="4" w:space="0" w:color="auto"/>
              <w:right w:val="single" w:sz="4" w:space="0" w:color="auto"/>
            </w:tcBorders>
            <w:noWrap/>
            <w:vAlign w:val="bottom"/>
          </w:tcPr>
          <w:p w:rsidR="00C956A6" w:rsidRDefault="00C956A6">
            <w:pPr>
              <w:spacing w:after="0" w:line="240" w:lineRule="auto"/>
              <w:rPr>
                <w:rFonts w:ascii="Sitka Heading" w:hAnsi="Sitka Heading" w:cs="Calibri"/>
                <w:color w:val="000000"/>
                <w:sz w:val="18"/>
                <w:szCs w:val="18"/>
              </w:rPr>
            </w:pPr>
            <w:bookmarkStart w:id="4" w:name="RANGE!B132"/>
            <w:bookmarkEnd w:id="4"/>
            <w:r>
              <w:rPr>
                <w:rFonts w:ascii="Sitka Heading Cyr" w:hAnsi="Sitka Heading Cyr" w:cs="Calibri"/>
                <w:color w:val="000000"/>
                <w:sz w:val="18"/>
                <w:szCs w:val="18"/>
              </w:rPr>
              <w:t>Формирати Комисију за избор чланова тела за праћење примене ЛАП-а</w:t>
            </w:r>
          </w:p>
        </w:tc>
        <w:tc>
          <w:tcPr>
            <w:tcW w:w="1350" w:type="dxa"/>
            <w:gridSpan w:val="5"/>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single" w:sz="4" w:space="0" w:color="auto"/>
              <w:bottom w:val="single" w:sz="4" w:space="0" w:color="auto"/>
              <w:right w:val="single" w:sz="4" w:space="0" w:color="auto"/>
            </w:tcBorders>
            <w:shd w:val="clear" w:color="auto" w:fill="808080"/>
            <w:noWrap/>
            <w:vAlign w:val="bottom"/>
          </w:tcPr>
          <w:p w:rsidR="00C956A6" w:rsidRDefault="00C956A6">
            <w:pPr>
              <w:spacing w:after="0" w:line="240" w:lineRule="auto"/>
              <w:jc w:val="center"/>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Именовати чланове тела за праћење примене ЛАП-а, односно усвојити акт о формирању тела за праћење примене ЛАП-а.  </w:t>
            </w:r>
          </w:p>
        </w:tc>
        <w:tc>
          <w:tcPr>
            <w:tcW w:w="540" w:type="dxa"/>
            <w:gridSpan w:val="2"/>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Обезбедити неопходне техничке, кадровске и материјалне услове за рад тела за праћење примене ЛАП-а.</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Усвојити акте о раду тела за праћење примене ЛАП-а.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nil"/>
              <w:left w:val="single" w:sz="4" w:space="0" w:color="auto"/>
              <w:bottom w:val="single" w:sz="4" w:space="0" w:color="auto"/>
              <w:right w:val="single" w:sz="4" w:space="0" w:color="auto"/>
            </w:tcBorders>
            <w:shd w:val="clear" w:color="auto" w:fill="FFFFFF"/>
            <w:vAlign w:val="center"/>
          </w:tcPr>
          <w:p w:rsidR="00C956A6" w:rsidRDefault="00C956A6">
            <w:pPr>
              <w:spacing w:after="0" w:line="240" w:lineRule="auto"/>
              <w:rPr>
                <w:rFonts w:ascii="Sitka Heading" w:hAnsi="Sitka Heading" w:cs="Calibri"/>
                <w:color w:val="000000"/>
                <w:sz w:val="18"/>
                <w:szCs w:val="18"/>
              </w:rPr>
            </w:pPr>
            <w:r>
              <w:rPr>
                <w:rFonts w:ascii="Sitka Heading Cyr" w:hAnsi="Sitka Heading Cyr" w:cs="Calibri"/>
                <w:color w:val="000000"/>
                <w:sz w:val="18"/>
                <w:szCs w:val="18"/>
              </w:rPr>
              <w:t xml:space="preserve">Усвојити акт о начину праћења примене ЛАП-а. </w:t>
            </w:r>
          </w:p>
        </w:tc>
        <w:tc>
          <w:tcPr>
            <w:tcW w:w="540" w:type="dxa"/>
            <w:gridSpan w:val="2"/>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nil"/>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nil"/>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Израда годишњег извештаја о спровођењу Закона о Агенцији за борбу против корупције на нивоу локалне самоуправе од стране Координатора за интегритет</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Израда годишњег извештаја о процесима етичког и правног санкционисању неетичког понашања и незаконитор понашања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Додела годишње награда за допринос борбу против корупиције од стране Тела за праћење примене ЛАП</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Извештај о спрвођењу и ефектима планова интегритета на нивоу града Врања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Извештај и раду Савета за праћење Етичког кодекса локалних функционера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Годишњнја евалуација запослениих у јавном сектору у </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Усвајање Изборног кодекса на нивоу Града Врања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Партијски трошковник</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Антикорупцијску дијалог</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Подршка медија у области истраживчког новинарства кроз позитивну дискриминацију у подршци пројектима истраживачког новинарства и </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Подршка организацијама цивилног друштва које у својиим пројектима за циљ имају борбу против корупције</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Антикорупцијски мониторинг медијског извештавања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Онлине евалиција задовољства радом институција локалне самоуправе и јавних предузећа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Регистри јавних докуманта и информација који су информатички прилагођени јавним претрагама, преузимању и анализама</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808080"/>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Успостављање независне јединице интерне ревизије у јавном сектору</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r w:rsidR="00C956A6" w:rsidRPr="001733E6" w:rsidTr="00845AF7">
        <w:trPr>
          <w:gridAfter w:val="1"/>
          <w:wAfter w:w="13" w:type="dxa"/>
          <w:trHeight w:val="315"/>
        </w:trPr>
        <w:tc>
          <w:tcPr>
            <w:tcW w:w="7200" w:type="dxa"/>
            <w:gridSpan w:val="3"/>
            <w:tcBorders>
              <w:top w:val="single" w:sz="4" w:space="0" w:color="auto"/>
              <w:left w:val="single" w:sz="4" w:space="0" w:color="auto"/>
              <w:bottom w:val="single" w:sz="4" w:space="0" w:color="auto"/>
              <w:right w:val="nil"/>
            </w:tcBorders>
            <w:noWrap/>
            <w:vAlign w:val="bottom"/>
          </w:tcPr>
          <w:p w:rsidR="00C956A6" w:rsidRDefault="00C956A6">
            <w:pPr>
              <w:spacing w:after="0" w:line="240" w:lineRule="auto"/>
              <w:rPr>
                <w:rFonts w:ascii="Sitka Heading" w:hAnsi="Sitka Heading" w:cs="Calibri"/>
                <w:color w:val="1A1617"/>
                <w:sz w:val="18"/>
                <w:szCs w:val="18"/>
              </w:rPr>
            </w:pPr>
            <w:r>
              <w:rPr>
                <w:rFonts w:ascii="Sitka Heading Cyr" w:hAnsi="Sitka Heading Cyr" w:cs="Calibri"/>
                <w:color w:val="1A1617"/>
                <w:sz w:val="18"/>
                <w:szCs w:val="18"/>
              </w:rPr>
              <w:t>Успостављање система финансијског управљања и контроле (ФМЦ) у државном и јавном сектору</w:t>
            </w:r>
          </w:p>
        </w:tc>
        <w:tc>
          <w:tcPr>
            <w:tcW w:w="540"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81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c>
          <w:tcPr>
            <w:tcW w:w="1440" w:type="dxa"/>
            <w:gridSpan w:val="3"/>
            <w:tcBorders>
              <w:top w:val="single" w:sz="4" w:space="0" w:color="auto"/>
              <w:left w:val="nil"/>
              <w:bottom w:val="single" w:sz="4" w:space="0" w:color="auto"/>
              <w:right w:val="single" w:sz="4" w:space="0" w:color="auto"/>
            </w:tcBorders>
            <w:shd w:val="clear" w:color="auto" w:fill="FFFFFF"/>
            <w:noWrap/>
            <w:vAlign w:val="bottom"/>
          </w:tcPr>
          <w:p w:rsidR="00C956A6" w:rsidRDefault="00C956A6">
            <w:pPr>
              <w:spacing w:after="0" w:line="240" w:lineRule="auto"/>
              <w:rPr>
                <w:rFonts w:ascii="Sitka Heading" w:hAnsi="Sitka Heading" w:cs="Calibri"/>
                <w:color w:val="000000"/>
                <w:sz w:val="18"/>
                <w:szCs w:val="18"/>
              </w:rPr>
            </w:pPr>
            <w:r>
              <w:rPr>
                <w:rFonts w:ascii="Sitka Heading" w:hAnsi="Sitka Heading" w:cs="Calibri"/>
                <w:color w:val="000000"/>
                <w:sz w:val="18"/>
                <w:szCs w:val="18"/>
              </w:rPr>
              <w:t> </w:t>
            </w:r>
          </w:p>
        </w:tc>
      </w:tr>
    </w:tbl>
    <w:p w:rsidR="00C956A6" w:rsidRDefault="00C956A6" w:rsidP="00845AF7">
      <w:pPr>
        <w:spacing w:after="0" w:line="240" w:lineRule="auto"/>
        <w:ind w:firstLine="720"/>
        <w:jc w:val="both"/>
        <w:rPr>
          <w:rFonts w:ascii="Times New Roman" w:hAnsi="Times New Roman"/>
          <w:sz w:val="26"/>
          <w:szCs w:val="26"/>
        </w:rPr>
      </w:pPr>
    </w:p>
    <w:p w:rsidR="00C956A6" w:rsidRDefault="00C956A6" w:rsidP="00845AF7">
      <w:pPr>
        <w:spacing w:after="0" w:line="240" w:lineRule="auto"/>
        <w:ind w:firstLine="720"/>
        <w:jc w:val="both"/>
        <w:rPr>
          <w:rFonts w:ascii="Times New Roman" w:hAnsi="Times New Roman"/>
          <w:sz w:val="26"/>
          <w:szCs w:val="26"/>
        </w:rPr>
      </w:pP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Члан 3.</w:t>
      </w:r>
    </w:p>
    <w:p w:rsidR="00C956A6" w:rsidRDefault="00C956A6" w:rsidP="00845AF7">
      <w:pPr>
        <w:spacing w:after="0" w:line="240" w:lineRule="auto"/>
        <w:ind w:firstLine="720"/>
        <w:rPr>
          <w:rFonts w:ascii="Times New Roman" w:hAnsi="Times New Roman"/>
          <w:b/>
          <w:sz w:val="26"/>
          <w:szCs w:val="26"/>
        </w:rPr>
      </w:pPr>
      <w:r>
        <w:rPr>
          <w:rFonts w:ascii="Times New Roman" w:hAnsi="Times New Roman"/>
          <w:sz w:val="26"/>
          <w:szCs w:val="26"/>
        </w:rPr>
        <w:t>У осталом делу  Локални антикорупцијски план остаје неизмењен</w:t>
      </w:r>
      <w:r>
        <w:rPr>
          <w:rFonts w:ascii="Times New Roman" w:hAnsi="Times New Roman"/>
          <w:b/>
          <w:sz w:val="26"/>
          <w:szCs w:val="26"/>
        </w:rPr>
        <w:t>.</w:t>
      </w: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jc w:val="center"/>
        <w:rPr>
          <w:rFonts w:ascii="Times New Roman" w:hAnsi="Times New Roman"/>
          <w:b/>
          <w:sz w:val="26"/>
          <w:szCs w:val="26"/>
        </w:rPr>
      </w:pP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Члан 4.</w:t>
      </w:r>
    </w:p>
    <w:p w:rsidR="00C956A6" w:rsidRDefault="00C956A6" w:rsidP="00845AF7">
      <w:pPr>
        <w:spacing w:after="0" w:line="240" w:lineRule="auto"/>
        <w:ind w:firstLine="720"/>
        <w:rPr>
          <w:rFonts w:ascii="Times New Roman" w:hAnsi="Times New Roman"/>
          <w:sz w:val="26"/>
          <w:szCs w:val="26"/>
        </w:rPr>
      </w:pPr>
      <w:r>
        <w:rPr>
          <w:rFonts w:ascii="Times New Roman" w:hAnsi="Times New Roman"/>
          <w:sz w:val="26"/>
          <w:szCs w:val="26"/>
        </w:rPr>
        <w:t>Измена и допуна Локалног  антикорупцијског  плана ступа  на снагу даном доношења.</w:t>
      </w:r>
    </w:p>
    <w:p w:rsidR="00C956A6" w:rsidRDefault="00C956A6" w:rsidP="00845AF7">
      <w:pPr>
        <w:spacing w:after="0" w:line="240" w:lineRule="auto"/>
        <w:ind w:firstLine="720"/>
        <w:rPr>
          <w:rFonts w:ascii="Times New Roman" w:hAnsi="Times New Roman"/>
          <w:sz w:val="26"/>
          <w:szCs w:val="26"/>
        </w:rPr>
      </w:pPr>
    </w:p>
    <w:p w:rsidR="00C956A6" w:rsidRDefault="00C956A6" w:rsidP="00845AF7">
      <w:pPr>
        <w:spacing w:after="0" w:line="240" w:lineRule="auto"/>
        <w:ind w:firstLine="720"/>
        <w:jc w:val="center"/>
        <w:rPr>
          <w:rFonts w:ascii="Times New Roman" w:hAnsi="Times New Roman"/>
          <w:b/>
          <w:sz w:val="26"/>
          <w:szCs w:val="26"/>
        </w:rPr>
      </w:pPr>
      <w:r>
        <w:rPr>
          <w:rFonts w:ascii="Times New Roman" w:hAnsi="Times New Roman"/>
          <w:b/>
          <w:sz w:val="26"/>
          <w:szCs w:val="26"/>
        </w:rPr>
        <w:t>СКУПШТИНА  ГРАДА  ВРАЊА</w:t>
      </w:r>
    </w:p>
    <w:p w:rsidR="00C956A6" w:rsidRPr="007B7D06" w:rsidRDefault="00C956A6" w:rsidP="00845AF7">
      <w:pPr>
        <w:spacing w:after="0" w:line="240" w:lineRule="auto"/>
        <w:ind w:firstLine="720"/>
        <w:jc w:val="center"/>
        <w:rPr>
          <w:rFonts w:ascii="Times New Roman" w:hAnsi="Times New Roman"/>
          <w:b/>
          <w:sz w:val="26"/>
          <w:szCs w:val="26"/>
          <w:lang/>
        </w:rPr>
      </w:pPr>
      <w:r>
        <w:rPr>
          <w:rFonts w:ascii="Times New Roman" w:hAnsi="Times New Roman"/>
          <w:b/>
          <w:sz w:val="26"/>
          <w:szCs w:val="26"/>
        </w:rPr>
        <w:t xml:space="preserve"> 19. 05. 2017. године,број: 02-80/2017-10.</w:t>
      </w:r>
    </w:p>
    <w:p w:rsidR="00C956A6" w:rsidRDefault="00C956A6" w:rsidP="00845AF7">
      <w:pPr>
        <w:spacing w:after="0" w:line="240" w:lineRule="auto"/>
        <w:ind w:firstLine="720"/>
        <w:jc w:val="center"/>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r>
        <w:rPr>
          <w:rFonts w:ascii="Times New Roman" w:hAnsi="Times New Roman"/>
          <w:b/>
          <w:sz w:val="26"/>
          <w:szCs w:val="26"/>
        </w:rPr>
        <w:t xml:space="preserve">                                                                     ПРЕДСЕДНИК СКУПШТИНЕ</w:t>
      </w:r>
    </w:p>
    <w:p w:rsidR="00C956A6" w:rsidRDefault="00C956A6" w:rsidP="00845AF7">
      <w:pPr>
        <w:spacing w:after="0" w:line="240" w:lineRule="auto"/>
        <w:ind w:firstLine="720"/>
        <w:rPr>
          <w:rFonts w:ascii="Times New Roman" w:hAnsi="Times New Roman"/>
          <w:b/>
          <w:sz w:val="26"/>
          <w:szCs w:val="26"/>
        </w:rPr>
      </w:pPr>
      <w:r>
        <w:rPr>
          <w:rFonts w:ascii="Times New Roman" w:hAnsi="Times New Roman"/>
          <w:b/>
          <w:sz w:val="26"/>
          <w:szCs w:val="26"/>
        </w:rPr>
        <w:t xml:space="preserve">                                                                          Дејан Тричковић,спец.двм,с.р.</w:t>
      </w:r>
    </w:p>
    <w:p w:rsidR="00C956A6" w:rsidRDefault="00C956A6" w:rsidP="00845AF7">
      <w:pPr>
        <w:spacing w:after="0" w:line="240" w:lineRule="auto"/>
        <w:ind w:firstLine="720"/>
        <w:rPr>
          <w:rFonts w:ascii="Times New Roman" w:hAnsi="Times New Roman"/>
          <w:b/>
          <w:sz w:val="26"/>
          <w:szCs w:val="26"/>
        </w:rPr>
      </w:pPr>
      <w:r>
        <w:rPr>
          <w:rFonts w:ascii="Times New Roman" w:hAnsi="Times New Roman"/>
          <w:b/>
          <w:sz w:val="26"/>
          <w:szCs w:val="26"/>
        </w:rPr>
        <w:t>ТАЧНОСТ ПРЕПИСА ОВЕРАВА:          СЕКРЕТАР СКУПШТИНЕ</w:t>
      </w:r>
    </w:p>
    <w:p w:rsidR="00C956A6" w:rsidRDefault="00C956A6" w:rsidP="00845AF7">
      <w:pPr>
        <w:spacing w:after="0" w:line="240" w:lineRule="auto"/>
        <w:ind w:firstLine="720"/>
        <w:rPr>
          <w:rFonts w:ascii="Times New Roman" w:hAnsi="Times New Roman"/>
          <w:b/>
          <w:sz w:val="26"/>
          <w:szCs w:val="26"/>
        </w:rPr>
      </w:pPr>
      <w:r>
        <w:rPr>
          <w:rFonts w:ascii="Times New Roman" w:hAnsi="Times New Roman"/>
          <w:b/>
          <w:sz w:val="26"/>
          <w:szCs w:val="26"/>
        </w:rPr>
        <w:t xml:space="preserve">                                                                               Марко Тричковић        </w:t>
      </w: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ind w:firstLine="720"/>
        <w:rPr>
          <w:rFonts w:ascii="Times New Roman" w:hAnsi="Times New Roman"/>
          <w:b/>
          <w:sz w:val="26"/>
          <w:szCs w:val="26"/>
        </w:rPr>
      </w:pPr>
    </w:p>
    <w:p w:rsidR="00C956A6" w:rsidRDefault="00C956A6" w:rsidP="00845AF7">
      <w:pPr>
        <w:spacing w:after="0" w:line="240" w:lineRule="auto"/>
        <w:jc w:val="center"/>
        <w:rPr>
          <w:rFonts w:ascii="Times New Roman" w:hAnsi="Times New Roman"/>
          <w:b/>
          <w:sz w:val="26"/>
          <w:szCs w:val="26"/>
        </w:rPr>
      </w:pPr>
      <w:r>
        <w:rPr>
          <w:rFonts w:ascii="Times New Roman" w:hAnsi="Times New Roman"/>
          <w:b/>
          <w:sz w:val="26"/>
          <w:szCs w:val="26"/>
        </w:rPr>
        <w:t>О бр а з л о же њ е</w:t>
      </w:r>
    </w:p>
    <w:p w:rsidR="00C956A6" w:rsidRDefault="00C956A6" w:rsidP="00845AF7">
      <w:pPr>
        <w:spacing w:after="0" w:line="240" w:lineRule="auto"/>
        <w:jc w:val="center"/>
        <w:rPr>
          <w:rFonts w:ascii="Times New Roman" w:hAnsi="Times New Roman"/>
          <w:b/>
          <w:sz w:val="26"/>
          <w:szCs w:val="26"/>
        </w:rPr>
      </w:pPr>
    </w:p>
    <w:p w:rsidR="00C956A6" w:rsidRDefault="00C956A6" w:rsidP="00845AF7">
      <w:pPr>
        <w:spacing w:after="0" w:line="240" w:lineRule="auto"/>
        <w:ind w:firstLine="720"/>
        <w:jc w:val="both"/>
      </w:pPr>
      <w:r>
        <w:t>Град Врање је на иницијативу Бироа за друштвена истраживања 2013. године започео процес израде Локалног плана за борбу против корупције. Резултат тог процеса је усвојен Локалнно план за борбру против корупције (ЛПБК). Израда овог ЛБПК је своје утемељење је имало у Национлној стратегији за борбу против коруппције из 2005. године. Ову обавезу до 2013. године када је донета нова Национална стратегије за борубу против корупције за период од 2013. годинедо 2018. година, која је такође оставила обавезу успостављања антикорупцијских механизама на локалном нивоу.</w:t>
      </w:r>
      <w:r>
        <w:rPr>
          <w:rStyle w:val="FootnoteReference"/>
        </w:rPr>
        <w:footnoteReference w:id="1"/>
      </w:r>
    </w:p>
    <w:p w:rsidR="00C956A6" w:rsidRDefault="00C956A6" w:rsidP="00845AF7">
      <w:pPr>
        <w:spacing w:after="0" w:line="240" w:lineRule="auto"/>
        <w:ind w:firstLine="720"/>
        <w:jc w:val="both"/>
      </w:pPr>
      <w:r>
        <w:t>Отварање поглавља 23. у проговорима са Европком унијом је условило да део активности из Националне стратегије за борбу против корупције буде и део Акционог поглаља за ово поглавље. Тако је борбу против корпције на локалном нивоу постала и део овог документа. Према истом документу је Агенција за борбу против корупције је имала обавезу да до 1.априла 2017 изради Модел локалних антикорупцијских планова, а локалне самоуправе су  у обавези да до 30. јуна 2017. године направе своје локлане планове</w:t>
      </w:r>
      <w:r>
        <w:rPr>
          <w:rStyle w:val="FootnoteReference"/>
        </w:rPr>
        <w:footnoteReference w:id="2"/>
      </w:r>
      <w:r>
        <w:t xml:space="preserve">. </w:t>
      </w:r>
    </w:p>
    <w:p w:rsidR="00C956A6" w:rsidRDefault="00C956A6" w:rsidP="00845AF7">
      <w:pPr>
        <w:spacing w:after="0" w:line="240" w:lineRule="auto"/>
        <w:ind w:firstLine="720"/>
        <w:jc w:val="both"/>
      </w:pPr>
      <w:r>
        <w:t xml:space="preserve">Према ставу Агенције за борбу против корупције, које је добијено на захтев Бироа за друштвена истраживања, локалне самоуправе које у претходном периоду израдиле механизме за борбу против корупције, треаба само да ускладе своје локалне антикорпцијске планове са Моделом  локалних антикорупцијски планова које је направила Агенција за борбу против корпције. </w:t>
      </w:r>
    </w:p>
    <w:p w:rsidR="00C956A6" w:rsidRDefault="00C956A6" w:rsidP="00845AF7">
      <w:pPr>
        <w:spacing w:after="0" w:line="240" w:lineRule="auto"/>
        <w:ind w:firstLine="720"/>
        <w:jc w:val="both"/>
      </w:pPr>
      <w:r>
        <w:t>Из напред наведног, Град Врање је приступио усаглашаву плана руководећи се селдећим принципима:</w:t>
      </w:r>
    </w:p>
    <w:p w:rsidR="00C956A6" w:rsidRDefault="00C956A6" w:rsidP="00845AF7">
      <w:pPr>
        <w:pStyle w:val="ListParagraph"/>
        <w:numPr>
          <w:ilvl w:val="0"/>
          <w:numId w:val="2"/>
        </w:numPr>
        <w:spacing w:after="0" w:line="240" w:lineRule="auto"/>
        <w:jc w:val="both"/>
      </w:pPr>
      <w:r>
        <w:t>Ако постоје мере у ЛПБК и Моделу Агенције у план ЛАП Врања ће ући оне мере које су деталније и прецизније дефинисанебиће део ЛАП Врање</w:t>
      </w:r>
    </w:p>
    <w:p w:rsidR="00C956A6" w:rsidRDefault="00C956A6" w:rsidP="00845AF7">
      <w:pPr>
        <w:pStyle w:val="ListParagraph"/>
        <w:numPr>
          <w:ilvl w:val="0"/>
          <w:numId w:val="2"/>
        </w:numPr>
        <w:spacing w:after="0" w:line="240" w:lineRule="auto"/>
        <w:jc w:val="both"/>
      </w:pPr>
      <w:r>
        <w:t>Ако Модел Агенције не садржи или није јасно спецификован садржај мере,а постоји пракса, пре свега проистекла из постојећих локалних механизама у Србији, ЕУ и свету, то ће бити део ЛАП Врање</w:t>
      </w:r>
    </w:p>
    <w:p w:rsidR="00C956A6" w:rsidRDefault="00C956A6" w:rsidP="00845AF7">
      <w:pPr>
        <w:pStyle w:val="ListParagraph"/>
        <w:numPr>
          <w:ilvl w:val="0"/>
          <w:numId w:val="2"/>
        </w:numPr>
        <w:spacing w:after="0" w:line="240" w:lineRule="auto"/>
        <w:jc w:val="both"/>
      </w:pPr>
      <w:r>
        <w:t>Ако у ЛПБК не постоји област или мере које садржи Модел Агенције, област или мере из Модела Агенције ће бити део ЛАП Врање</w:t>
      </w:r>
    </w:p>
    <w:p w:rsidR="00C956A6" w:rsidRDefault="00C956A6" w:rsidP="00845AF7">
      <w:pPr>
        <w:pStyle w:val="ListParagraph"/>
        <w:numPr>
          <w:ilvl w:val="0"/>
          <w:numId w:val="2"/>
        </w:numPr>
        <w:spacing w:after="0" w:line="240" w:lineRule="auto"/>
        <w:jc w:val="both"/>
      </w:pPr>
      <w:r>
        <w:t xml:space="preserve">Ако је постоје мере које се по својој природи пре приладају Плановима интегритета, и чија примена би била на тај начин ефикаснија, те мере бити достављене надлежним/релеватним институција како би постале део планова интегритета. </w:t>
      </w:r>
    </w:p>
    <w:p w:rsidR="00C956A6" w:rsidRDefault="00C956A6" w:rsidP="00845AF7">
      <w:pPr>
        <w:pStyle w:val="ListParagraph"/>
        <w:numPr>
          <w:ilvl w:val="0"/>
          <w:numId w:val="2"/>
        </w:numPr>
        <w:spacing w:after="0" w:line="240" w:lineRule="auto"/>
        <w:jc w:val="both"/>
      </w:pPr>
      <w:r>
        <w:t>Ове мере ће бити издвојене и препроручене да их размотре и усвоје институције обвезнице планова интегритета. Овај став преизилази из чињенице да је Модел  Агенције у великој мери се ослонио на концпт планова интегритета и институције локлане самоуправе као циљну групу Модела. Из тог разлога ЛАП Врање ће имати три врсте мера:</w:t>
      </w:r>
    </w:p>
    <w:p w:rsidR="00C956A6" w:rsidRDefault="00C956A6" w:rsidP="00845AF7">
      <w:pPr>
        <w:pStyle w:val="ListParagraph"/>
        <w:spacing w:after="0" w:line="240" w:lineRule="auto"/>
        <w:ind w:left="1080"/>
        <w:jc w:val="both"/>
      </w:pPr>
    </w:p>
    <w:p w:rsidR="00C956A6" w:rsidRDefault="00C956A6" w:rsidP="00845AF7">
      <w:pPr>
        <w:pStyle w:val="ListParagraph"/>
        <w:numPr>
          <w:ilvl w:val="1"/>
          <w:numId w:val="2"/>
        </w:numPr>
        <w:spacing w:after="0" w:line="240" w:lineRule="auto"/>
        <w:ind w:left="1080"/>
        <w:jc w:val="both"/>
      </w:pPr>
      <w:r>
        <w:t>Мере јачања интегритета институција локлане самоуправе –ова врста мера се у највећој мери налази у Моделу Агенције. Ове мере треба да постану постану мере у Плановима интегритета у институцијама локалне самоуправе у случају да нису као такве идентификоване као потребне у процесу самоуевалуције интегритета институције. Координатор за интегритет ће бити задужен да све институције локалне самоуправе  у своје Планове интегритета уграде наведене мере. На овај начин би се избегло диплирање мониторинга спровођења и од локалног тела и од стране Агенције за борбу против корупије, дајући предност у мониторингз Агенцији за борбу против корупције као водећој инститиције за борбу против у Србији. Тело за праћење може направити извештај о спровођењу мера</w:t>
      </w:r>
    </w:p>
    <w:p w:rsidR="00C956A6" w:rsidRDefault="00C956A6" w:rsidP="00845AF7">
      <w:pPr>
        <w:pStyle w:val="ListParagraph"/>
        <w:numPr>
          <w:ilvl w:val="1"/>
          <w:numId w:val="2"/>
        </w:numPr>
        <w:spacing w:after="0" w:line="240" w:lineRule="auto"/>
        <w:ind w:left="0" w:firstLine="720"/>
        <w:jc w:val="both"/>
      </w:pPr>
      <w:r>
        <w:t>Мере јачања локалног система интегритета – мере којима се врши јачање интегритета не само локлане самоуправе већ сви осталих актера (политичких партија, организација цивилног друштва, струковна удружења, универзитет, привреда и грађани)</w:t>
      </w:r>
    </w:p>
    <w:p w:rsidR="00C956A6" w:rsidRDefault="00C956A6" w:rsidP="00845AF7">
      <w:pPr>
        <w:pStyle w:val="ListParagraph"/>
        <w:numPr>
          <w:ilvl w:val="1"/>
          <w:numId w:val="2"/>
        </w:numPr>
        <w:spacing w:after="0" w:line="240" w:lineRule="auto"/>
        <w:ind w:left="1080"/>
        <w:jc w:val="both"/>
      </w:pPr>
      <w:r>
        <w:t>Мере за примену и праћење реализације и ефеката примене ЛАП Врање</w:t>
      </w:r>
    </w:p>
    <w:p w:rsidR="00C956A6" w:rsidRDefault="00C956A6" w:rsidP="00845AF7">
      <w:pPr>
        <w:spacing w:after="0" w:line="240" w:lineRule="auto"/>
        <w:ind w:firstLine="360"/>
        <w:jc w:val="both"/>
      </w:pPr>
      <w:r>
        <w:t>Све напред наведно почива на претпоставци да ефикасна борба против корупције има пет стубова:</w:t>
      </w:r>
    </w:p>
    <w:p w:rsidR="00C956A6" w:rsidRDefault="00C956A6" w:rsidP="00845AF7">
      <w:pPr>
        <w:pStyle w:val="ListParagraph"/>
        <w:numPr>
          <w:ilvl w:val="0"/>
          <w:numId w:val="4"/>
        </w:numPr>
        <w:spacing w:after="0" w:line="240" w:lineRule="auto"/>
        <w:jc w:val="both"/>
      </w:pPr>
      <w:r>
        <w:t>Онлине  доступност информација о кретању новца, доношењу одлука, нормативнх аката и уговор грађаниима, медијима, стручњацима и заинтересованој јавности.</w:t>
      </w:r>
    </w:p>
    <w:p w:rsidR="00C956A6" w:rsidRDefault="00C956A6" w:rsidP="00845AF7">
      <w:pPr>
        <w:pStyle w:val="ListParagraph"/>
        <w:numPr>
          <w:ilvl w:val="0"/>
          <w:numId w:val="4"/>
        </w:numPr>
        <w:spacing w:after="0" w:line="240" w:lineRule="auto"/>
        <w:jc w:val="both"/>
      </w:pPr>
      <w:r>
        <w:t>Јачању интегритета на нивоу институција локлане самоуправе, али и локалном систему интегритета</w:t>
      </w:r>
    </w:p>
    <w:p w:rsidR="00C956A6" w:rsidRDefault="00C956A6" w:rsidP="00845AF7">
      <w:pPr>
        <w:pStyle w:val="ListParagraph"/>
        <w:numPr>
          <w:ilvl w:val="0"/>
          <w:numId w:val="4"/>
        </w:numPr>
        <w:spacing w:after="0" w:line="240" w:lineRule="auto"/>
        <w:jc w:val="both"/>
      </w:pPr>
      <w:r>
        <w:t>Заштити и промоцији грађана, али и правих лица, која указују на незаконитости, односно промовишу грађански и професионални интегритет</w:t>
      </w:r>
    </w:p>
    <w:p w:rsidR="00C956A6" w:rsidRDefault="00C956A6" w:rsidP="00845AF7">
      <w:pPr>
        <w:pStyle w:val="ListParagraph"/>
        <w:numPr>
          <w:ilvl w:val="0"/>
          <w:numId w:val="4"/>
        </w:numPr>
        <w:spacing w:after="0" w:line="240" w:lineRule="auto"/>
        <w:jc w:val="both"/>
      </w:pPr>
      <w:r>
        <w:t xml:space="preserve">Спровођењу антикорупцијског законодавства у сарадњи са грађанима, антикорупцијским актерима и телима који имају седиште су на локалном нивоу </w:t>
      </w:r>
    </w:p>
    <w:p w:rsidR="00C956A6" w:rsidRDefault="00C956A6" w:rsidP="00845AF7">
      <w:pPr>
        <w:pStyle w:val="ListParagraph"/>
        <w:numPr>
          <w:ilvl w:val="0"/>
          <w:numId w:val="4"/>
        </w:numPr>
        <w:spacing w:after="0" w:line="240" w:lineRule="auto"/>
        <w:jc w:val="both"/>
      </w:pPr>
      <w:r>
        <w:t>Унапређење добре управе</w:t>
      </w:r>
    </w:p>
    <w:p w:rsidR="00C956A6" w:rsidRDefault="00C956A6"/>
    <w:sectPr w:rsidR="00C956A6" w:rsidSect="003A466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6A6" w:rsidRDefault="00C956A6" w:rsidP="00845AF7">
      <w:pPr>
        <w:spacing w:after="0" w:line="240" w:lineRule="auto"/>
      </w:pPr>
      <w:r>
        <w:separator/>
      </w:r>
    </w:p>
  </w:endnote>
  <w:endnote w:type="continuationSeparator" w:id="0">
    <w:p w:rsidR="00C956A6" w:rsidRDefault="00C956A6" w:rsidP="00845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tka Heading">
    <w:altName w:val="Arial"/>
    <w:panose1 w:val="00000000000000000000"/>
    <w:charset w:val="00"/>
    <w:family w:val="auto"/>
    <w:notTrueType/>
    <w:pitch w:val="variable"/>
    <w:sig w:usb0="00000003" w:usb1="00000000" w:usb2="00000000" w:usb3="00000000" w:csb0="00000001" w:csb1="00000000"/>
  </w:font>
  <w:font w:name="Sitka Heading Cyr">
    <w:altName w:val="Arial"/>
    <w:panose1 w:val="00000000000000000000"/>
    <w:charset w:val="CC"/>
    <w:family w:val="auto"/>
    <w:notTrueType/>
    <w:pitch w:val="variable"/>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6A6" w:rsidRDefault="00C956A6" w:rsidP="00845AF7">
      <w:pPr>
        <w:spacing w:after="0" w:line="240" w:lineRule="auto"/>
      </w:pPr>
      <w:r>
        <w:separator/>
      </w:r>
    </w:p>
  </w:footnote>
  <w:footnote w:type="continuationSeparator" w:id="0">
    <w:p w:rsidR="00C956A6" w:rsidRDefault="00C956A6" w:rsidP="00845AF7">
      <w:pPr>
        <w:spacing w:after="0" w:line="240" w:lineRule="auto"/>
      </w:pPr>
      <w:r>
        <w:continuationSeparator/>
      </w:r>
    </w:p>
  </w:footnote>
  <w:footnote w:id="1">
    <w:p w:rsidR="00C956A6" w:rsidRDefault="00C956A6" w:rsidP="00845AF7">
      <w:pPr>
        <w:pStyle w:val="FootnoteText"/>
      </w:pPr>
    </w:p>
  </w:footnote>
  <w:footnote w:id="2">
    <w:p w:rsidR="00C956A6" w:rsidRDefault="00C956A6" w:rsidP="00845AF7">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1322C"/>
    <w:multiLevelType w:val="hybridMultilevel"/>
    <w:tmpl w:val="1C4E27F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nsid w:val="7DC72243"/>
    <w:multiLevelType w:val="hybridMultilevel"/>
    <w:tmpl w:val="3A38D72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90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5AF7"/>
    <w:rsid w:val="001733E6"/>
    <w:rsid w:val="001F0836"/>
    <w:rsid w:val="00271E56"/>
    <w:rsid w:val="003A4669"/>
    <w:rsid w:val="006C25F8"/>
    <w:rsid w:val="007B7D06"/>
    <w:rsid w:val="00845AF7"/>
    <w:rsid w:val="00984E74"/>
    <w:rsid w:val="009E7216"/>
    <w:rsid w:val="00C956A6"/>
    <w:rsid w:val="00D13F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F7"/>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845AF7"/>
    <w:rPr>
      <w:rFonts w:cs="Times New Roman"/>
      <w:color w:val="0000FF"/>
      <w:u w:val="single"/>
    </w:rPr>
  </w:style>
  <w:style w:type="character" w:styleId="FollowedHyperlink">
    <w:name w:val="FollowedHyperlink"/>
    <w:basedOn w:val="DefaultParagraphFont"/>
    <w:uiPriority w:val="99"/>
    <w:semiHidden/>
    <w:rsid w:val="00845AF7"/>
    <w:rPr>
      <w:rFonts w:cs="Times New Roman"/>
      <w:color w:val="800080"/>
      <w:u w:val="single"/>
    </w:rPr>
  </w:style>
  <w:style w:type="paragraph" w:styleId="NormalWeb">
    <w:name w:val="Normal (Web)"/>
    <w:basedOn w:val="Normal"/>
    <w:uiPriority w:val="99"/>
    <w:semiHidden/>
    <w:rsid w:val="00845AF7"/>
    <w:pPr>
      <w:spacing w:before="100" w:beforeAutospacing="1" w:after="100" w:afterAutospacing="1" w:line="240" w:lineRule="auto"/>
    </w:pPr>
    <w:rPr>
      <w:rFonts w:ascii="Times New Roman" w:hAnsi="Times New Roman"/>
      <w:sz w:val="24"/>
      <w:szCs w:val="24"/>
    </w:rPr>
  </w:style>
  <w:style w:type="paragraph" w:styleId="FootnoteText">
    <w:name w:val="footnote text"/>
    <w:basedOn w:val="Normal"/>
    <w:link w:val="FootnoteTextChar"/>
    <w:uiPriority w:val="99"/>
    <w:semiHidden/>
    <w:rsid w:val="00845AF7"/>
    <w:pPr>
      <w:spacing w:after="0" w:line="240" w:lineRule="auto"/>
    </w:pPr>
    <w:rPr>
      <w:rFonts w:eastAsia="Calibri"/>
      <w:sz w:val="20"/>
      <w:szCs w:val="20"/>
    </w:rPr>
  </w:style>
  <w:style w:type="character" w:customStyle="1" w:styleId="FootnoteTextChar">
    <w:name w:val="Footnote Text Char"/>
    <w:basedOn w:val="DefaultParagraphFont"/>
    <w:link w:val="FootnoteText"/>
    <w:uiPriority w:val="99"/>
    <w:semiHidden/>
    <w:locked/>
    <w:rsid w:val="00845AF7"/>
    <w:rPr>
      <w:rFonts w:cs="Times New Roman"/>
      <w:sz w:val="20"/>
      <w:szCs w:val="20"/>
    </w:rPr>
  </w:style>
  <w:style w:type="paragraph" w:styleId="ListParagraph">
    <w:name w:val="List Paragraph"/>
    <w:basedOn w:val="Normal"/>
    <w:uiPriority w:val="99"/>
    <w:qFormat/>
    <w:rsid w:val="00845AF7"/>
    <w:pPr>
      <w:spacing w:after="160" w:line="256" w:lineRule="auto"/>
      <w:ind w:left="720"/>
      <w:contextualSpacing/>
    </w:pPr>
    <w:rPr>
      <w:rFonts w:eastAsia="Calibri"/>
    </w:rPr>
  </w:style>
  <w:style w:type="character" w:styleId="FootnoteReference">
    <w:name w:val="footnote reference"/>
    <w:basedOn w:val="DefaultParagraphFont"/>
    <w:uiPriority w:val="99"/>
    <w:semiHidden/>
    <w:rsid w:val="00845AF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147697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9</Pages>
  <Words>3801</Words>
  <Characters>21669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ukovcic</dc:creator>
  <cp:keywords/>
  <dc:description/>
  <cp:lastModifiedBy>sdjokovic</cp:lastModifiedBy>
  <cp:revision>4</cp:revision>
  <cp:lastPrinted>2017-05-22T07:47:00Z</cp:lastPrinted>
  <dcterms:created xsi:type="dcterms:W3CDTF">2017-05-12T09:01:00Z</dcterms:created>
  <dcterms:modified xsi:type="dcterms:W3CDTF">2017-05-22T07:49:00Z</dcterms:modified>
</cp:coreProperties>
</file>